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93" w:rsidRPr="002F2A93" w:rsidRDefault="002F2A93" w:rsidP="002F2A93">
      <w:pPr>
        <w:spacing w:after="0" w:line="240" w:lineRule="auto"/>
        <w:ind w:firstLine="360"/>
        <w:jc w:val="center"/>
        <w:rPr>
          <w:rFonts w:ascii="Arial" w:eastAsia="Times New Roman" w:hAnsi="Arial" w:cs="Arial"/>
        </w:rPr>
      </w:pPr>
    </w:p>
    <w:p w:rsidR="002F2A93" w:rsidRPr="00285C86" w:rsidRDefault="002F2A93" w:rsidP="002F2A93">
      <w:pPr>
        <w:spacing w:after="0" w:line="240" w:lineRule="auto"/>
        <w:ind w:firstLine="360"/>
        <w:jc w:val="center"/>
        <w:rPr>
          <w:rFonts w:ascii="Arial" w:eastAsia="Times New Roman" w:hAnsi="Arial" w:cs="Arial"/>
          <w:sz w:val="24"/>
          <w:szCs w:val="24"/>
        </w:rPr>
      </w:pPr>
    </w:p>
    <w:p w:rsidR="002B30E8" w:rsidRPr="00285C86" w:rsidRDefault="002F2A93" w:rsidP="00285C86">
      <w:pPr>
        <w:spacing w:after="0" w:line="360" w:lineRule="auto"/>
        <w:rPr>
          <w:rFonts w:ascii="Arial" w:eastAsia="Times New Roman" w:hAnsi="Arial" w:cs="Arial"/>
          <w:sz w:val="24"/>
          <w:szCs w:val="24"/>
        </w:rPr>
      </w:pPr>
      <w:r w:rsidRPr="00285C86">
        <w:rPr>
          <w:rFonts w:ascii="Arial" w:eastAsia="Times New Roman" w:hAnsi="Arial" w:cs="Arial"/>
          <w:sz w:val="24"/>
          <w:szCs w:val="24"/>
        </w:rPr>
        <w:t>Katarzyna Drela</w:t>
      </w:r>
    </w:p>
    <w:p w:rsidR="002B30E8" w:rsidRPr="00285C86" w:rsidRDefault="002B30E8" w:rsidP="00285C86">
      <w:pPr>
        <w:spacing w:after="0" w:line="360" w:lineRule="auto"/>
        <w:rPr>
          <w:rFonts w:ascii="Arial" w:eastAsia="Times New Roman" w:hAnsi="Arial" w:cs="Arial"/>
          <w:sz w:val="24"/>
          <w:szCs w:val="24"/>
        </w:rPr>
      </w:pPr>
      <w:r w:rsidRPr="00285C86">
        <w:rPr>
          <w:rFonts w:ascii="Arial" w:eastAsia="Times New Roman" w:hAnsi="Arial" w:cs="Arial"/>
          <w:sz w:val="24"/>
          <w:szCs w:val="24"/>
        </w:rPr>
        <w:t xml:space="preserve">Zakład Neurobiologii Naprawczej </w:t>
      </w:r>
    </w:p>
    <w:p w:rsidR="00285C86" w:rsidRPr="00285C86" w:rsidRDefault="002B30E8" w:rsidP="00285C86">
      <w:pPr>
        <w:spacing w:after="0" w:line="360" w:lineRule="auto"/>
        <w:rPr>
          <w:rFonts w:ascii="Arial" w:eastAsia="Times New Roman" w:hAnsi="Arial" w:cs="Arial"/>
          <w:sz w:val="24"/>
          <w:szCs w:val="24"/>
        </w:rPr>
      </w:pPr>
      <w:r w:rsidRPr="00285C86">
        <w:rPr>
          <w:rFonts w:ascii="Arial" w:eastAsia="Times New Roman" w:hAnsi="Arial" w:cs="Arial"/>
          <w:sz w:val="24"/>
          <w:szCs w:val="24"/>
        </w:rPr>
        <w:t xml:space="preserve">i Pracownia Bioinżynierii Komórek Macierzystych </w:t>
      </w:r>
    </w:p>
    <w:p w:rsidR="00285C86" w:rsidRPr="00285C86" w:rsidRDefault="00285C86" w:rsidP="00285C86">
      <w:pPr>
        <w:spacing w:after="0" w:line="360" w:lineRule="auto"/>
        <w:rPr>
          <w:rFonts w:ascii="Arial" w:eastAsia="Times New Roman" w:hAnsi="Arial" w:cs="Arial"/>
          <w:sz w:val="24"/>
          <w:szCs w:val="24"/>
        </w:rPr>
      </w:pPr>
      <w:r>
        <w:rPr>
          <w:rFonts w:ascii="Arial" w:eastAsia="Times New Roman" w:hAnsi="Arial" w:cs="Arial"/>
          <w:sz w:val="24"/>
          <w:szCs w:val="24"/>
        </w:rPr>
        <w:t>Instytut Medycyny Doświadczalnej i Klinicznej</w:t>
      </w:r>
    </w:p>
    <w:p w:rsidR="00285C86" w:rsidRPr="00285C86" w:rsidRDefault="00285C86" w:rsidP="00285C86">
      <w:pPr>
        <w:spacing w:after="0" w:line="360" w:lineRule="auto"/>
        <w:rPr>
          <w:rFonts w:ascii="Arial" w:eastAsia="Times New Roman" w:hAnsi="Arial" w:cs="Arial"/>
          <w:sz w:val="24"/>
          <w:szCs w:val="24"/>
        </w:rPr>
      </w:pPr>
      <w:r>
        <w:rPr>
          <w:rFonts w:ascii="Arial" w:eastAsia="Times New Roman" w:hAnsi="Arial" w:cs="Arial"/>
          <w:sz w:val="24"/>
          <w:szCs w:val="24"/>
        </w:rPr>
        <w:t>Im. Mirosława Mossakowskiego PAN</w:t>
      </w:r>
    </w:p>
    <w:p w:rsidR="002F2A93" w:rsidRPr="002F2A93" w:rsidRDefault="002F2A93" w:rsidP="002F2A93">
      <w:pPr>
        <w:spacing w:after="0" w:line="240" w:lineRule="auto"/>
        <w:ind w:firstLine="360"/>
        <w:jc w:val="center"/>
        <w:rPr>
          <w:rFonts w:ascii="Arial" w:eastAsia="Times New Roman" w:hAnsi="Arial" w:cs="Arial"/>
          <w:sz w:val="28"/>
          <w:szCs w:val="28"/>
        </w:rPr>
      </w:pPr>
    </w:p>
    <w:p w:rsidR="002F2A93" w:rsidRPr="002F2A93" w:rsidRDefault="002F2A93" w:rsidP="002F2A93">
      <w:pPr>
        <w:spacing w:after="0" w:line="240" w:lineRule="auto"/>
        <w:ind w:firstLine="360"/>
        <w:jc w:val="center"/>
        <w:rPr>
          <w:rFonts w:ascii="Arial" w:eastAsia="Times New Roman" w:hAnsi="Arial" w:cs="Arial"/>
          <w:sz w:val="28"/>
          <w:szCs w:val="28"/>
        </w:rPr>
      </w:pPr>
    </w:p>
    <w:p w:rsidR="002F2A93" w:rsidRPr="002F2A93" w:rsidRDefault="002F2A93" w:rsidP="002F2A93">
      <w:pPr>
        <w:spacing w:after="0" w:line="360" w:lineRule="auto"/>
        <w:ind w:firstLine="360"/>
        <w:jc w:val="center"/>
        <w:rPr>
          <w:rFonts w:ascii="Arial" w:eastAsia="Times New Roman" w:hAnsi="Arial" w:cs="Arial"/>
          <w:i/>
          <w:iCs/>
          <w:sz w:val="28"/>
          <w:szCs w:val="28"/>
        </w:rPr>
      </w:pPr>
    </w:p>
    <w:p w:rsidR="002F2A93" w:rsidRDefault="00BC6185" w:rsidP="001E2608">
      <w:pPr>
        <w:spacing w:after="0" w:line="360" w:lineRule="auto"/>
        <w:ind w:firstLine="360"/>
        <w:jc w:val="both"/>
        <w:rPr>
          <w:rFonts w:ascii="Arial" w:eastAsia="Times New Roman" w:hAnsi="Arial" w:cs="Arial"/>
          <w:iCs/>
          <w:sz w:val="24"/>
          <w:szCs w:val="24"/>
        </w:rPr>
      </w:pPr>
      <w:r>
        <w:rPr>
          <w:rFonts w:ascii="Arial" w:eastAsia="Times New Roman" w:hAnsi="Arial" w:cs="Arial"/>
          <w:iCs/>
          <w:sz w:val="24"/>
          <w:szCs w:val="24"/>
        </w:rPr>
        <w:t xml:space="preserve">                           </w:t>
      </w:r>
      <w:r w:rsidRPr="00BC6185">
        <w:rPr>
          <w:rFonts w:ascii="Arial" w:eastAsia="Times New Roman" w:hAnsi="Arial" w:cs="Arial"/>
          <w:iCs/>
          <w:sz w:val="24"/>
          <w:szCs w:val="24"/>
        </w:rPr>
        <w:t xml:space="preserve">Streszczenie rozprawy doktorskiej </w:t>
      </w:r>
    </w:p>
    <w:p w:rsidR="00285C86" w:rsidRPr="00BC6185" w:rsidRDefault="00285C86" w:rsidP="001E2608">
      <w:pPr>
        <w:spacing w:after="0" w:line="360" w:lineRule="auto"/>
        <w:ind w:firstLine="360"/>
        <w:jc w:val="both"/>
        <w:rPr>
          <w:rFonts w:ascii="Arial" w:eastAsia="Times New Roman" w:hAnsi="Arial" w:cs="Arial"/>
          <w:iCs/>
          <w:sz w:val="24"/>
          <w:szCs w:val="24"/>
        </w:rPr>
      </w:pPr>
    </w:p>
    <w:p w:rsidR="002F2A93" w:rsidRPr="00975504" w:rsidRDefault="002F2A93" w:rsidP="001E2608">
      <w:pPr>
        <w:spacing w:after="0" w:line="360" w:lineRule="auto"/>
        <w:jc w:val="both"/>
        <w:rPr>
          <w:rFonts w:ascii="Arial" w:eastAsia="Times New Roman" w:hAnsi="Arial" w:cs="Arial"/>
          <w:b/>
          <w:sz w:val="24"/>
          <w:szCs w:val="24"/>
        </w:rPr>
      </w:pPr>
      <w:r w:rsidRPr="00975504">
        <w:rPr>
          <w:rFonts w:ascii="Arial" w:eastAsia="Times New Roman" w:hAnsi="Arial" w:cs="Arial"/>
          <w:b/>
          <w:sz w:val="24"/>
          <w:szCs w:val="24"/>
        </w:rPr>
        <w:t xml:space="preserve">Ocena potencjału neurogennego ludzkich </w:t>
      </w:r>
      <w:proofErr w:type="spellStart"/>
      <w:r w:rsidRPr="00975504">
        <w:rPr>
          <w:rFonts w:ascii="Arial" w:eastAsia="Times New Roman" w:hAnsi="Arial" w:cs="Arial"/>
          <w:b/>
          <w:sz w:val="24"/>
          <w:szCs w:val="24"/>
        </w:rPr>
        <w:t>mezenchymalnych</w:t>
      </w:r>
      <w:proofErr w:type="spellEnd"/>
      <w:r w:rsidRPr="00975504">
        <w:rPr>
          <w:rFonts w:ascii="Arial" w:eastAsia="Times New Roman" w:hAnsi="Arial" w:cs="Arial"/>
          <w:b/>
          <w:sz w:val="24"/>
          <w:szCs w:val="24"/>
        </w:rPr>
        <w:t xml:space="preserve"> komórek macierzystych pochodzących z różnych źródeł: krwi i sznura pępowinowego oraz szpiku kostnego  </w:t>
      </w:r>
    </w:p>
    <w:p w:rsidR="002F2A93" w:rsidRPr="002F2A93" w:rsidRDefault="002F2A93" w:rsidP="002F2A93">
      <w:pPr>
        <w:spacing w:after="0" w:line="360" w:lineRule="auto"/>
        <w:ind w:firstLine="360"/>
        <w:jc w:val="center"/>
        <w:rPr>
          <w:rFonts w:ascii="Arial" w:eastAsia="Times New Roman" w:hAnsi="Arial" w:cs="Arial"/>
          <w:i/>
          <w:iCs/>
          <w:sz w:val="28"/>
          <w:szCs w:val="28"/>
        </w:rPr>
      </w:pPr>
    </w:p>
    <w:p w:rsidR="002F2A93" w:rsidRPr="002F2A93" w:rsidRDefault="002F2A93" w:rsidP="002F2A93">
      <w:pPr>
        <w:spacing w:after="0" w:line="360" w:lineRule="auto"/>
        <w:ind w:firstLine="360"/>
        <w:jc w:val="center"/>
        <w:rPr>
          <w:rFonts w:ascii="Arial" w:eastAsia="Times New Roman" w:hAnsi="Arial" w:cs="Arial"/>
          <w:i/>
          <w:iCs/>
          <w:sz w:val="28"/>
          <w:szCs w:val="28"/>
        </w:rPr>
      </w:pPr>
    </w:p>
    <w:p w:rsidR="002F2A93" w:rsidRPr="002F2A93" w:rsidRDefault="002B30E8" w:rsidP="00EF6C51">
      <w:pPr>
        <w:spacing w:after="0" w:line="360" w:lineRule="auto"/>
        <w:rPr>
          <w:rFonts w:ascii="Arial" w:eastAsia="Times New Roman" w:hAnsi="Arial" w:cs="Arial"/>
        </w:rPr>
      </w:pPr>
      <w:r>
        <w:rPr>
          <w:rFonts w:ascii="Arial" w:eastAsia="Times New Roman" w:hAnsi="Arial" w:cs="Arial"/>
        </w:rPr>
        <w:t xml:space="preserve">Promotor: </w:t>
      </w:r>
      <w:r w:rsidR="001F0526">
        <w:rPr>
          <w:rFonts w:ascii="Arial" w:eastAsia="Times New Roman" w:hAnsi="Arial" w:cs="Arial"/>
        </w:rPr>
        <w:t>Prof. dr hab. n. med. Krystyna Domańska</w:t>
      </w:r>
      <w:r w:rsidR="002F2A93" w:rsidRPr="002F2A93">
        <w:rPr>
          <w:rFonts w:ascii="Arial" w:eastAsia="Times New Roman" w:hAnsi="Arial" w:cs="Arial"/>
        </w:rPr>
        <w:t>-Janik</w:t>
      </w:r>
    </w:p>
    <w:p w:rsidR="002F2A93" w:rsidRPr="002F2A93" w:rsidRDefault="002F2A93" w:rsidP="002F2A93">
      <w:pPr>
        <w:spacing w:after="0" w:line="240" w:lineRule="auto"/>
        <w:ind w:firstLine="360"/>
        <w:jc w:val="center"/>
        <w:rPr>
          <w:rFonts w:ascii="Arial" w:eastAsia="Times New Roman" w:hAnsi="Arial" w:cs="Arial"/>
          <w:sz w:val="32"/>
          <w:szCs w:val="32"/>
        </w:rPr>
      </w:pPr>
    </w:p>
    <w:p w:rsidR="002F2A93" w:rsidRPr="002F2A93" w:rsidRDefault="002F2A93" w:rsidP="002F2A93">
      <w:pPr>
        <w:spacing w:after="0" w:line="240" w:lineRule="auto"/>
        <w:ind w:firstLine="360"/>
        <w:jc w:val="center"/>
        <w:rPr>
          <w:rFonts w:ascii="Arial" w:eastAsia="Times New Roman" w:hAnsi="Arial" w:cs="Arial"/>
          <w:sz w:val="32"/>
          <w:szCs w:val="32"/>
        </w:rPr>
      </w:pPr>
    </w:p>
    <w:p w:rsidR="00BC6185" w:rsidRPr="00BC6185" w:rsidRDefault="00BC6185" w:rsidP="00BC6185">
      <w:pPr>
        <w:spacing w:after="200" w:line="360" w:lineRule="auto"/>
        <w:ind w:firstLine="708"/>
        <w:jc w:val="both"/>
        <w:rPr>
          <w:rFonts w:ascii="Arial" w:eastAsia="Calibri" w:hAnsi="Arial" w:cs="Arial"/>
        </w:rPr>
      </w:pPr>
      <w:proofErr w:type="spellStart"/>
      <w:r w:rsidRPr="00BC6185">
        <w:rPr>
          <w:rFonts w:ascii="Arial" w:eastAsia="Calibri" w:hAnsi="Arial" w:cs="Arial"/>
        </w:rPr>
        <w:t>Mezenchymalne</w:t>
      </w:r>
      <w:proofErr w:type="spellEnd"/>
      <w:r w:rsidRPr="00BC6185">
        <w:rPr>
          <w:rFonts w:ascii="Arial" w:eastAsia="Calibri" w:hAnsi="Arial" w:cs="Arial"/>
        </w:rPr>
        <w:t xml:space="preserve"> komórki macierzyste (MSC) pochodzące z organizmów dojrzałych to komórki stosunkowo łatwe do wyizolowania i utrzymania w warunkach hodowli </w:t>
      </w:r>
      <w:r w:rsidRPr="00BC6185">
        <w:rPr>
          <w:rFonts w:ascii="Arial" w:eastAsia="Calibri" w:hAnsi="Arial" w:cs="Arial"/>
          <w:i/>
        </w:rPr>
        <w:t>in vitro.</w:t>
      </w:r>
      <w:r w:rsidRPr="00BC6185">
        <w:rPr>
          <w:rFonts w:ascii="Arial" w:eastAsia="Calibri" w:hAnsi="Arial" w:cs="Arial"/>
        </w:rPr>
        <w:t xml:space="preserve"> MSC mają duże zdolności plastyczne, mogą różnicować się do komórek tkanki chrzęstnej, kostnej oraz tłuszczowej. Ostatnie doniesienia sugerują </w:t>
      </w:r>
      <w:bookmarkStart w:id="0" w:name="_GoBack"/>
      <w:bookmarkEnd w:id="0"/>
      <w:r w:rsidRPr="00BC6185">
        <w:rPr>
          <w:rFonts w:ascii="Arial" w:eastAsia="Calibri" w:hAnsi="Arial" w:cs="Arial"/>
        </w:rPr>
        <w:t xml:space="preserve">również zdolność tych komórek do nietypowego różnicowania się w komórki innych niż mezodermalne listków zarodkowych np. do pochodzących z ektodermy neuronów. Komórki MSC można znaleźć w szpiku kostnym, a także w wielu innych tkankach i narządach. Podejmowane są również próby wykorzystania tkanek pozostałych po porodzie tzw. tkanek popłodu wliczając w to galaretę Whartona oraz krew pępowinową. Terapia </w:t>
      </w:r>
      <w:proofErr w:type="spellStart"/>
      <w:r w:rsidRPr="00BC6185">
        <w:rPr>
          <w:rFonts w:ascii="Arial" w:eastAsia="Calibri" w:hAnsi="Arial" w:cs="Arial"/>
        </w:rPr>
        <w:t>mezenchymalnymi</w:t>
      </w:r>
      <w:proofErr w:type="spellEnd"/>
      <w:r w:rsidRPr="00BC6185">
        <w:rPr>
          <w:rFonts w:ascii="Arial" w:eastAsia="Calibri" w:hAnsi="Arial" w:cs="Arial"/>
        </w:rPr>
        <w:t xml:space="preserve"> komórkami macierzystymi budzi ogromne nadzieje dla zastosowania ich w medycynie regeneracyjnej. W badaniach na zwierzętach udokumentowano terapeutyczne działanie komórek MSC w modelach wielu chorób. Oprócz ich ogólnoustrojowego działania związanego z wydzielaniem biologicznie ważnych czynników wpływających korzystnie na endogenne procesy naprawcze, przeszczepione MSC mogą wykazywać potencjał do zastępowania uszkodzonych tkanek i komórek. </w:t>
      </w:r>
    </w:p>
    <w:p w:rsidR="00BC6185" w:rsidRPr="00BC6185" w:rsidRDefault="00BC6185" w:rsidP="00BC6185">
      <w:pPr>
        <w:spacing w:after="200" w:line="360" w:lineRule="auto"/>
        <w:ind w:firstLine="708"/>
        <w:jc w:val="both"/>
        <w:rPr>
          <w:rFonts w:ascii="Arial" w:eastAsia="Calibri" w:hAnsi="Arial" w:cs="Arial"/>
        </w:rPr>
      </w:pPr>
      <w:r w:rsidRPr="00BC6185">
        <w:rPr>
          <w:rFonts w:ascii="Arial" w:eastAsia="Calibri" w:hAnsi="Arial" w:cs="Arial"/>
        </w:rPr>
        <w:lastRenderedPageBreak/>
        <w:t xml:space="preserve">W przedstawionej rozprawie podjęto próbę opracowania wydajnej metody izolacji a następnie hodowli </w:t>
      </w:r>
      <w:proofErr w:type="spellStart"/>
      <w:r w:rsidRPr="00BC6185">
        <w:rPr>
          <w:rFonts w:ascii="Arial" w:eastAsia="Calibri" w:hAnsi="Arial" w:cs="Arial"/>
        </w:rPr>
        <w:t>mezenchymalnych</w:t>
      </w:r>
      <w:proofErr w:type="spellEnd"/>
      <w:r w:rsidRPr="00BC6185">
        <w:rPr>
          <w:rFonts w:ascii="Arial" w:eastAsia="Calibri" w:hAnsi="Arial" w:cs="Arial"/>
        </w:rPr>
        <w:t xml:space="preserve"> komórek macierzystych otrzymywanych z tkanek niedojrzałych (galarety Whartona sznura pępowinowego oraz krwi pępowinowej) i tkanek dorosłych (szpiku kostnego). W toku realizacji pracy ustalono parametry dla hodowli tych rodzajów MSC, określano stan ich zróżnicowania i właściwości plastyczne a następnie analizowano zdolności do różnicowania </w:t>
      </w:r>
      <w:proofErr w:type="spellStart"/>
      <w:r w:rsidRPr="00BC6185">
        <w:rPr>
          <w:rFonts w:ascii="Arial" w:eastAsia="Calibri" w:hAnsi="Arial" w:cs="Arial"/>
        </w:rPr>
        <w:t>neuralnego</w:t>
      </w:r>
      <w:proofErr w:type="spellEnd"/>
      <w:r w:rsidRPr="00BC6185">
        <w:rPr>
          <w:rFonts w:ascii="Arial" w:eastAsia="Calibri" w:hAnsi="Arial" w:cs="Arial"/>
        </w:rPr>
        <w:t>.</w:t>
      </w:r>
    </w:p>
    <w:p w:rsidR="00BC6185" w:rsidRPr="00BC6185" w:rsidRDefault="00BC6185" w:rsidP="00BC6185">
      <w:pPr>
        <w:spacing w:after="200" w:line="360" w:lineRule="auto"/>
        <w:ind w:firstLine="708"/>
        <w:jc w:val="both"/>
        <w:rPr>
          <w:rFonts w:ascii="Arial" w:eastAsia="Calibri" w:hAnsi="Arial" w:cs="Arial"/>
        </w:rPr>
      </w:pPr>
      <w:r w:rsidRPr="00BC6185">
        <w:rPr>
          <w:rFonts w:ascii="Arial" w:eastAsia="Calibri" w:hAnsi="Arial" w:cs="Arial"/>
        </w:rPr>
        <w:t xml:space="preserve">Charakterystyka otrzymanych populacji komórek obejmowała ich ocenę pod kątem obecności specyficznych markerów </w:t>
      </w:r>
      <w:proofErr w:type="spellStart"/>
      <w:r w:rsidRPr="00BC6185">
        <w:rPr>
          <w:rFonts w:ascii="Arial" w:eastAsia="Calibri" w:hAnsi="Arial" w:cs="Arial"/>
        </w:rPr>
        <w:t>mezenchymalnych</w:t>
      </w:r>
      <w:proofErr w:type="spellEnd"/>
      <w:r w:rsidRPr="00BC6185">
        <w:rPr>
          <w:rFonts w:ascii="Arial" w:eastAsia="Calibri" w:hAnsi="Arial" w:cs="Arial"/>
        </w:rPr>
        <w:t xml:space="preserve"> oraz potencjału do różnicowania w komórki mezodermy. Z dwóch analizowanych źródeł udało się uzyskać homogenną frakcję komórek MSC (WJ-MSC, BM-MSC), co zostało potwierdzone pozytywną ekspresją markerów typowych dla MSC zatwierdzonych przez Międzynarodowe Towarzystwo Terapii Komórkowej. Zastosowana charakterystyka oceny fenotypu </w:t>
      </w:r>
      <w:proofErr w:type="spellStart"/>
      <w:r w:rsidRPr="00BC6185">
        <w:rPr>
          <w:rFonts w:ascii="Arial" w:eastAsia="Calibri" w:hAnsi="Arial" w:cs="Arial"/>
        </w:rPr>
        <w:t>mezenchymalnego</w:t>
      </w:r>
      <w:proofErr w:type="spellEnd"/>
      <w:r w:rsidRPr="00BC6185">
        <w:rPr>
          <w:rFonts w:ascii="Arial" w:eastAsia="Calibri" w:hAnsi="Arial" w:cs="Arial"/>
        </w:rPr>
        <w:t xml:space="preserve"> nie wykazała różnic pomiędzy analizowanymi frakcjami pochodzącymi ze szpiku kostnego oraz galarety Whartona. Natomiast uzyskana populacja komórek MSC z krwi pępowinowej okazała się stosunkowo nieliczna i trudna do izolacji, co spowodowało wykluczenie tego źródła jako materiału do dalszych analiz. Populacja komórek krwi pępowinowej oprócz potwierdzonych badaniami immunocytochemicznymi cech MSC charakteryzowała się obecnością wielu dodatkowych heterogennych frakcji komórek jednojądrzastych (MNC). Podczas dalszej charakterystyki wyizolowana frakcja komórek krwi pępowinowej wykazywała cechy </w:t>
      </w:r>
      <w:proofErr w:type="spellStart"/>
      <w:r w:rsidRPr="00BC6185">
        <w:rPr>
          <w:rFonts w:ascii="Arial" w:eastAsia="Calibri" w:hAnsi="Arial" w:cs="Arial"/>
        </w:rPr>
        <w:t>pluripotencjalne</w:t>
      </w:r>
      <w:proofErr w:type="spellEnd"/>
      <w:r w:rsidRPr="00BC6185">
        <w:rPr>
          <w:rFonts w:ascii="Arial" w:eastAsia="Calibri" w:hAnsi="Arial" w:cs="Arial"/>
        </w:rPr>
        <w:t xml:space="preserve"> potwierdzone obecnością zestawu genów SRTF (Oct3/4, Sox2, Rex1, </w:t>
      </w:r>
      <w:proofErr w:type="spellStart"/>
      <w:r w:rsidRPr="00BC6185">
        <w:rPr>
          <w:rFonts w:ascii="Arial" w:eastAsia="Calibri" w:hAnsi="Arial" w:cs="Arial"/>
        </w:rPr>
        <w:t>Nanog</w:t>
      </w:r>
      <w:proofErr w:type="spellEnd"/>
      <w:r w:rsidRPr="00BC6185">
        <w:rPr>
          <w:rFonts w:ascii="Arial" w:eastAsia="Calibri" w:hAnsi="Arial" w:cs="Arial"/>
        </w:rPr>
        <w:t>). Nasza obserwacja w pełni pokryła się z danymi literaturowymi, w których autorzy zwracają uwagę na trudności w otrzymywaniu czystej populacji tych komórek MSC i sugerują wykorzystanie do transplantacji całej frakcji komórek MNC krwi pępowinowej.</w:t>
      </w:r>
    </w:p>
    <w:p w:rsidR="00BC6185" w:rsidRPr="00BC6185" w:rsidRDefault="00BC6185" w:rsidP="00BC6185">
      <w:pPr>
        <w:spacing w:after="200" w:line="360" w:lineRule="auto"/>
        <w:ind w:firstLine="708"/>
        <w:jc w:val="both"/>
        <w:rPr>
          <w:rFonts w:ascii="Arial" w:eastAsia="Calibri" w:hAnsi="Arial" w:cs="Arial"/>
        </w:rPr>
      </w:pPr>
      <w:r w:rsidRPr="00BC6185">
        <w:rPr>
          <w:rFonts w:ascii="Arial" w:eastAsia="Calibri" w:hAnsi="Arial" w:cs="Arial"/>
        </w:rPr>
        <w:t xml:space="preserve">Z niektórych danych literaturowych wynika, że MSC pochodzące z tkanek popłodu, w tym krwi pępowinowej i galarety Whartona, są dzięki swojej niedojrzałości rozwojowej bardziej pierwotne i o szerszych możliwościach do wielokierunkowego różnicowania w porównaniu z tymi izolowanymi z tkanek dorosłych organizmów. W naszych badaniach zaobserwowaliśmy, że komórki wyizolowane z galarety Whartona wykazują ekspresję markera wczesnej mezodermy </w:t>
      </w:r>
      <w:proofErr w:type="spellStart"/>
      <w:r w:rsidRPr="00BC6185">
        <w:rPr>
          <w:rFonts w:ascii="Arial" w:eastAsia="Calibri" w:hAnsi="Arial" w:cs="Arial"/>
        </w:rPr>
        <w:t>Brachyury</w:t>
      </w:r>
      <w:proofErr w:type="spellEnd"/>
      <w:r w:rsidRPr="00BC6185">
        <w:rPr>
          <w:rFonts w:ascii="Arial" w:eastAsia="Calibri" w:hAnsi="Arial" w:cs="Arial"/>
        </w:rPr>
        <w:t xml:space="preserve">. Kolejną cechą, potwierdzającą mniej zróżnicowany charakter komórek WJ-MSC, była zaobserwowana na wczesnych etapach hodowli wyższa ekspresja antygenu SSEA-4 uważanego za marker </w:t>
      </w:r>
      <w:proofErr w:type="spellStart"/>
      <w:r w:rsidRPr="00BC6185">
        <w:rPr>
          <w:rFonts w:ascii="Arial" w:eastAsia="Calibri" w:hAnsi="Arial" w:cs="Arial"/>
        </w:rPr>
        <w:t>pluripotentnych</w:t>
      </w:r>
      <w:proofErr w:type="spellEnd"/>
      <w:r w:rsidRPr="00BC6185">
        <w:rPr>
          <w:rFonts w:ascii="Arial" w:eastAsia="Calibri" w:hAnsi="Arial" w:cs="Arial"/>
        </w:rPr>
        <w:t xml:space="preserve"> komórek niezróżnicowanych. Komórki pochodzące z tkanki dorosłej ze szpiku kostnego, charakteryzowały się stosunkowo niższą ekspresją tego markera oraz brakiem </w:t>
      </w:r>
      <w:proofErr w:type="spellStart"/>
      <w:r w:rsidRPr="00BC6185">
        <w:rPr>
          <w:rFonts w:ascii="Arial" w:eastAsia="Calibri" w:hAnsi="Arial" w:cs="Arial"/>
        </w:rPr>
        <w:t>Brachyury</w:t>
      </w:r>
      <w:proofErr w:type="spellEnd"/>
      <w:r w:rsidRPr="00BC6185">
        <w:rPr>
          <w:rFonts w:ascii="Arial" w:eastAsia="Calibri" w:hAnsi="Arial" w:cs="Arial"/>
        </w:rPr>
        <w:t xml:space="preserve">. Inną obserwacją, potwierdzającą mniej zróżnicowany charakter komórek otrzymanych z galarety Whartona, była obecność charakterystycznych skupisk komórek tworzących kolonie </w:t>
      </w:r>
      <w:r w:rsidRPr="00BC6185">
        <w:rPr>
          <w:rFonts w:ascii="Arial" w:eastAsia="Calibri" w:hAnsi="Arial" w:cs="Arial"/>
        </w:rPr>
        <w:lastRenderedPageBreak/>
        <w:t>zwane również centrami intensywnej proliferacji. Przeciwnie w komórkach ze szpiku nie udało się ich zaobserwować.</w:t>
      </w:r>
    </w:p>
    <w:p w:rsidR="00BC6185" w:rsidRPr="00BC6185" w:rsidRDefault="00BC6185" w:rsidP="00BC6185">
      <w:pPr>
        <w:spacing w:after="200" w:line="360" w:lineRule="auto"/>
        <w:ind w:firstLine="708"/>
        <w:jc w:val="both"/>
        <w:rPr>
          <w:rFonts w:ascii="Arial" w:eastAsia="Calibri" w:hAnsi="Arial" w:cs="Arial"/>
        </w:rPr>
      </w:pPr>
      <w:r w:rsidRPr="00BC6185">
        <w:rPr>
          <w:rFonts w:ascii="Arial" w:eastAsia="Calibri" w:hAnsi="Arial" w:cs="Arial"/>
        </w:rPr>
        <w:t xml:space="preserve">W kolejnych etapach prowadzonych badań porównywano otrzymane populacje komórek pod kątem zdolności do różnicowania w kierunku komórek z linii </w:t>
      </w:r>
      <w:proofErr w:type="spellStart"/>
      <w:r w:rsidRPr="00BC6185">
        <w:rPr>
          <w:rFonts w:ascii="Arial" w:eastAsia="Calibri" w:hAnsi="Arial" w:cs="Arial"/>
        </w:rPr>
        <w:t>neuralnej</w:t>
      </w:r>
      <w:proofErr w:type="spellEnd"/>
      <w:r w:rsidRPr="00BC6185">
        <w:rPr>
          <w:rFonts w:ascii="Arial" w:eastAsia="Calibri" w:hAnsi="Arial" w:cs="Arial"/>
        </w:rPr>
        <w:t xml:space="preserve">. Jest to kluczowe w poszukiwaniu najlepszego źródła do zastosowań potencjalnie terapeutycznych w chorobach neurologicznych, w których obecnie nie ma skutecznych metod leczenia. Otrzymane przez nas wyniki wykazały duże zdolności do różnicowania </w:t>
      </w:r>
      <w:proofErr w:type="spellStart"/>
      <w:r w:rsidRPr="00BC6185">
        <w:rPr>
          <w:rFonts w:ascii="Arial" w:eastAsia="Calibri" w:hAnsi="Arial" w:cs="Arial"/>
        </w:rPr>
        <w:t>neuralnego</w:t>
      </w:r>
      <w:proofErr w:type="spellEnd"/>
      <w:r w:rsidRPr="00BC6185">
        <w:rPr>
          <w:rFonts w:ascii="Arial" w:eastAsia="Calibri" w:hAnsi="Arial" w:cs="Arial"/>
        </w:rPr>
        <w:t xml:space="preserve"> komórek pochodzących z galarety Whartona. W standardowych warunkach hodowli WJ-MSC spontaniczne nabywały ekspresji markerów </w:t>
      </w:r>
      <w:proofErr w:type="spellStart"/>
      <w:r w:rsidRPr="00BC6185">
        <w:rPr>
          <w:rFonts w:ascii="Arial" w:eastAsia="Calibri" w:hAnsi="Arial" w:cs="Arial"/>
        </w:rPr>
        <w:t>neuralnych</w:t>
      </w:r>
      <w:proofErr w:type="spellEnd"/>
      <w:r w:rsidRPr="00BC6185">
        <w:rPr>
          <w:rFonts w:ascii="Arial" w:eastAsia="Calibri" w:hAnsi="Arial" w:cs="Arial"/>
        </w:rPr>
        <w:t xml:space="preserve">. Na wczesnych etapach hodowli zaobserwowano pojawianie się markera </w:t>
      </w:r>
      <w:proofErr w:type="spellStart"/>
      <w:r w:rsidRPr="00BC6185">
        <w:rPr>
          <w:rFonts w:ascii="Arial" w:eastAsia="Calibri" w:hAnsi="Arial" w:cs="Arial"/>
        </w:rPr>
        <w:t>progenitorów</w:t>
      </w:r>
      <w:proofErr w:type="spellEnd"/>
      <w:r w:rsidRPr="00BC6185">
        <w:rPr>
          <w:rFonts w:ascii="Arial" w:eastAsia="Calibri" w:hAnsi="Arial" w:cs="Arial"/>
        </w:rPr>
        <w:t xml:space="preserve"> neuroektodermalnych </w:t>
      </w:r>
      <w:proofErr w:type="spellStart"/>
      <w:r w:rsidRPr="00BC6185">
        <w:rPr>
          <w:rFonts w:ascii="Arial" w:eastAsia="Calibri" w:hAnsi="Arial" w:cs="Arial"/>
        </w:rPr>
        <w:t>Nestyny</w:t>
      </w:r>
      <w:proofErr w:type="spellEnd"/>
      <w:r w:rsidRPr="00BC6185">
        <w:rPr>
          <w:rFonts w:ascii="Arial" w:eastAsia="Calibri" w:hAnsi="Arial" w:cs="Arial"/>
        </w:rPr>
        <w:t xml:space="preserve">, a następnie w trakcie kolejnych pasaży </w:t>
      </w:r>
      <w:proofErr w:type="spellStart"/>
      <w:r w:rsidRPr="00BC6185">
        <w:rPr>
          <w:rFonts w:ascii="Arial" w:eastAsia="Calibri" w:hAnsi="Arial" w:cs="Arial"/>
        </w:rPr>
        <w:t>neurofilamenu</w:t>
      </w:r>
      <w:proofErr w:type="spellEnd"/>
      <w:r w:rsidRPr="00BC6185">
        <w:rPr>
          <w:rFonts w:ascii="Arial" w:eastAsia="Calibri" w:hAnsi="Arial" w:cs="Arial"/>
        </w:rPr>
        <w:t xml:space="preserve"> NF-200 oraz kwaśnego białka włókienkowego GFAP. Przeciwnie, frakcja komórek MSC otrzymanych ze szpiku charakteryzowała się tylko pojedynczymi komórkami </w:t>
      </w:r>
      <w:proofErr w:type="spellStart"/>
      <w:r w:rsidRPr="00BC6185">
        <w:rPr>
          <w:rFonts w:ascii="Arial" w:eastAsia="Calibri" w:hAnsi="Arial" w:cs="Arial"/>
        </w:rPr>
        <w:t>nestyno-pozytwnymi</w:t>
      </w:r>
      <w:proofErr w:type="spellEnd"/>
      <w:r w:rsidRPr="00BC6185">
        <w:rPr>
          <w:rFonts w:ascii="Arial" w:eastAsia="Calibri" w:hAnsi="Arial" w:cs="Arial"/>
        </w:rPr>
        <w:t xml:space="preserve">, które w dalszej hodowli zanikały i nie nabywały kolejnych cech </w:t>
      </w:r>
      <w:proofErr w:type="spellStart"/>
      <w:r w:rsidRPr="00BC6185">
        <w:rPr>
          <w:rFonts w:ascii="Arial" w:eastAsia="Calibri" w:hAnsi="Arial" w:cs="Arial"/>
        </w:rPr>
        <w:t>neuralnych</w:t>
      </w:r>
      <w:proofErr w:type="spellEnd"/>
      <w:r w:rsidRPr="00BC6185">
        <w:rPr>
          <w:rFonts w:ascii="Arial" w:eastAsia="Calibri" w:hAnsi="Arial" w:cs="Arial"/>
        </w:rPr>
        <w:t xml:space="preserve">. Wyższy, w porównaniu do BM-MSC, potencjał komórek z WJ-MSC do różnicowania w kierunku </w:t>
      </w:r>
      <w:proofErr w:type="spellStart"/>
      <w:r w:rsidRPr="00BC6185">
        <w:rPr>
          <w:rFonts w:ascii="Arial" w:eastAsia="Calibri" w:hAnsi="Arial" w:cs="Arial"/>
        </w:rPr>
        <w:t>neuralnym</w:t>
      </w:r>
      <w:proofErr w:type="spellEnd"/>
      <w:r w:rsidRPr="00BC6185">
        <w:rPr>
          <w:rFonts w:ascii="Arial" w:eastAsia="Calibri" w:hAnsi="Arial" w:cs="Arial"/>
        </w:rPr>
        <w:t xml:space="preserve"> korelował pozytywnie ze zwiększoną </w:t>
      </w:r>
      <w:proofErr w:type="spellStart"/>
      <w:r w:rsidRPr="00BC6185">
        <w:rPr>
          <w:rFonts w:ascii="Arial" w:eastAsia="Calibri" w:hAnsi="Arial" w:cs="Arial"/>
        </w:rPr>
        <w:t>transkrypcyją</w:t>
      </w:r>
      <w:proofErr w:type="spellEnd"/>
      <w:r w:rsidRPr="00BC6185">
        <w:rPr>
          <w:rFonts w:ascii="Arial" w:eastAsia="Calibri" w:hAnsi="Arial" w:cs="Arial"/>
        </w:rPr>
        <w:t xml:space="preserve"> genów dla panelu czynników neurotroficznych, a w szczególności dla BDNF, GDNF, VEGF, HGF, NT3 i NT4.</w:t>
      </w:r>
    </w:p>
    <w:p w:rsidR="00BC6185" w:rsidRPr="00BC6185" w:rsidRDefault="00BC6185" w:rsidP="00BC6185">
      <w:pPr>
        <w:spacing w:after="200" w:line="360" w:lineRule="auto"/>
        <w:ind w:firstLine="708"/>
        <w:jc w:val="both"/>
        <w:rPr>
          <w:rFonts w:ascii="Arial" w:eastAsia="Calibri" w:hAnsi="Arial" w:cs="Arial"/>
        </w:rPr>
      </w:pPr>
      <w:r w:rsidRPr="00BC6185">
        <w:rPr>
          <w:rFonts w:ascii="Arial" w:eastAsia="Calibri" w:hAnsi="Arial" w:cs="Arial"/>
        </w:rPr>
        <w:t xml:space="preserve">W dalszych badaniach podjęto próbę oceny wpływu zastosowania warunków obniżonego 5% tlenu na komórki MSC poddane długotrwałej ekspozycji w kontekście indukcji cech </w:t>
      </w:r>
      <w:proofErr w:type="spellStart"/>
      <w:r w:rsidRPr="00BC6185">
        <w:rPr>
          <w:rFonts w:ascii="Arial" w:eastAsia="Calibri" w:hAnsi="Arial" w:cs="Arial"/>
        </w:rPr>
        <w:t>pluripotencjalności</w:t>
      </w:r>
      <w:proofErr w:type="spellEnd"/>
      <w:r w:rsidRPr="00BC6185">
        <w:rPr>
          <w:rFonts w:ascii="Arial" w:eastAsia="Calibri" w:hAnsi="Arial" w:cs="Arial"/>
        </w:rPr>
        <w:t xml:space="preserve">. Na podstawie danych literaturowych można wywnioskować, że </w:t>
      </w:r>
      <w:proofErr w:type="spellStart"/>
      <w:r w:rsidRPr="00BC6185">
        <w:rPr>
          <w:rFonts w:ascii="Arial" w:eastAsia="Calibri" w:hAnsi="Arial" w:cs="Arial"/>
        </w:rPr>
        <w:t>mezenchymalne</w:t>
      </w:r>
      <w:proofErr w:type="spellEnd"/>
      <w:r w:rsidRPr="00BC6185">
        <w:rPr>
          <w:rFonts w:ascii="Arial" w:eastAsia="Calibri" w:hAnsi="Arial" w:cs="Arial"/>
        </w:rPr>
        <w:t xml:space="preserve"> komórki macierzyste powinny być hodowane w warunkach, które odzwierciedlają środowisko niszy, z której pierwotnie pochodzą. Odzwierciedlenie naturalnego środowiska niszy może zwiększać proliferację i wpływać pozytywnie na właściwości plastyczne komórek macierzystych. Jak zaprezentowano w badaniach własnych, zastosowane warunki 5% stężenia tlenu w hodowli </w:t>
      </w:r>
      <w:r w:rsidRPr="00BC6185">
        <w:rPr>
          <w:rFonts w:ascii="Arial" w:eastAsia="Calibri" w:hAnsi="Arial" w:cs="Arial"/>
          <w:i/>
        </w:rPr>
        <w:t xml:space="preserve">in vitro </w:t>
      </w:r>
      <w:proofErr w:type="spellStart"/>
      <w:r w:rsidRPr="00BC6185">
        <w:rPr>
          <w:rFonts w:ascii="Arial" w:eastAsia="Calibri" w:hAnsi="Arial" w:cs="Arial"/>
        </w:rPr>
        <w:t>mezenchymalnych</w:t>
      </w:r>
      <w:proofErr w:type="spellEnd"/>
      <w:r w:rsidRPr="00BC6185">
        <w:rPr>
          <w:rFonts w:ascii="Arial" w:eastAsia="Calibri" w:hAnsi="Arial" w:cs="Arial"/>
        </w:rPr>
        <w:t xml:space="preserve"> komórek macierzystych było ważnym czynnikiem utrzymującym podziały komórkowe na intensywnym poziomie oraz prowadziło do przedłużenia hodowli obu typów analizowanych komórek. Jednak populacja komórek uzyskanych z tkanki niedojrzałej WJ-MSC wykazywała dużo silniejszą reakcję proliferacyjną na zastosowane warunki obniżenia stężenia tlenu. Ponadto, reakcji komórek WJ-MSC na obniżone stężenie tlenu towarzyszyła indukcja transkrypcji genów podjednostki alfa czynnika HIF-1 i czynnika HIF-2. </w:t>
      </w:r>
    </w:p>
    <w:p w:rsidR="00BC6185" w:rsidRPr="00BC6185" w:rsidRDefault="00BC6185" w:rsidP="00BC6185">
      <w:pPr>
        <w:spacing w:after="200" w:line="360" w:lineRule="auto"/>
        <w:ind w:firstLine="708"/>
        <w:jc w:val="both"/>
        <w:rPr>
          <w:rFonts w:ascii="Arial" w:eastAsia="Calibri" w:hAnsi="Arial" w:cs="Arial"/>
        </w:rPr>
      </w:pPr>
      <w:r w:rsidRPr="00BC6185">
        <w:rPr>
          <w:rFonts w:ascii="Arial" w:eastAsia="Calibri" w:hAnsi="Arial" w:cs="Arial"/>
        </w:rPr>
        <w:t xml:space="preserve">W komórkach WJ-MSC w powyższych warunkach oceniano również ekspresję genów charakterystycznych dla komórek </w:t>
      </w:r>
      <w:proofErr w:type="spellStart"/>
      <w:r w:rsidRPr="00BC6185">
        <w:rPr>
          <w:rFonts w:ascii="Arial" w:eastAsia="Calibri" w:hAnsi="Arial" w:cs="Arial"/>
        </w:rPr>
        <w:t>pluripotencjalnych</w:t>
      </w:r>
      <w:proofErr w:type="spellEnd"/>
      <w:r w:rsidRPr="00BC6185">
        <w:rPr>
          <w:rFonts w:ascii="Arial" w:eastAsia="Calibri" w:hAnsi="Arial" w:cs="Arial"/>
        </w:rPr>
        <w:t xml:space="preserve"> oraz genów związanych z różnicowaniem </w:t>
      </w:r>
      <w:proofErr w:type="spellStart"/>
      <w:r w:rsidRPr="00BC6185">
        <w:rPr>
          <w:rFonts w:ascii="Arial" w:eastAsia="Calibri" w:hAnsi="Arial" w:cs="Arial"/>
        </w:rPr>
        <w:t>neuralnym</w:t>
      </w:r>
      <w:proofErr w:type="spellEnd"/>
      <w:r w:rsidRPr="00BC6185">
        <w:rPr>
          <w:rFonts w:ascii="Arial" w:eastAsia="Calibri" w:hAnsi="Arial" w:cs="Arial"/>
        </w:rPr>
        <w:t xml:space="preserve">. Jedynym ze znaczących wyników odróżniającym hodowle komórek WJ-MSC z niskiego tlenu okazał się zanik cech </w:t>
      </w:r>
      <w:proofErr w:type="spellStart"/>
      <w:r w:rsidRPr="00BC6185">
        <w:rPr>
          <w:rFonts w:ascii="Arial" w:eastAsia="Calibri" w:hAnsi="Arial" w:cs="Arial"/>
        </w:rPr>
        <w:t>neuralnych</w:t>
      </w:r>
      <w:proofErr w:type="spellEnd"/>
      <w:r w:rsidRPr="00BC6185">
        <w:rPr>
          <w:rFonts w:ascii="Arial" w:eastAsia="Calibri" w:hAnsi="Arial" w:cs="Arial"/>
        </w:rPr>
        <w:t xml:space="preserve"> w tym </w:t>
      </w:r>
      <w:proofErr w:type="spellStart"/>
      <w:r w:rsidRPr="00BC6185">
        <w:rPr>
          <w:rFonts w:ascii="Arial" w:eastAsia="Calibri" w:hAnsi="Arial" w:cs="Arial"/>
        </w:rPr>
        <w:t>neurofilamentu</w:t>
      </w:r>
      <w:proofErr w:type="spellEnd"/>
      <w:r w:rsidRPr="00BC6185">
        <w:rPr>
          <w:rFonts w:ascii="Arial" w:eastAsia="Calibri" w:hAnsi="Arial" w:cs="Arial"/>
        </w:rPr>
        <w:t xml:space="preserve"> </w:t>
      </w:r>
      <w:r w:rsidRPr="00BC6185">
        <w:rPr>
          <w:rFonts w:ascii="Arial" w:eastAsia="Calibri" w:hAnsi="Arial" w:cs="Arial"/>
        </w:rPr>
        <w:lastRenderedPageBreak/>
        <w:t xml:space="preserve">NF200 oraz GFAP, który wcześniej komórki spontanicznie nabywały w warunkach atmosferycznej zawartości tlenu. Ponadto, co najbardziej istotne, komórki WJ-MSC ulegały stopniowemu odróżnicowaniu i wykazywały ekspresję typowych dla </w:t>
      </w:r>
      <w:proofErr w:type="spellStart"/>
      <w:r w:rsidRPr="00BC6185">
        <w:rPr>
          <w:rFonts w:ascii="Arial" w:eastAsia="Calibri" w:hAnsi="Arial" w:cs="Arial"/>
        </w:rPr>
        <w:t>pluripotencjalności</w:t>
      </w:r>
      <w:proofErr w:type="spellEnd"/>
      <w:r w:rsidRPr="00BC6185">
        <w:rPr>
          <w:rFonts w:ascii="Arial" w:eastAsia="Calibri" w:hAnsi="Arial" w:cs="Arial"/>
        </w:rPr>
        <w:t xml:space="preserve"> markerów SRTF (Oct3/4, Sox2, Rex1, </w:t>
      </w:r>
      <w:proofErr w:type="spellStart"/>
      <w:r w:rsidRPr="00BC6185">
        <w:rPr>
          <w:rFonts w:ascii="Arial" w:eastAsia="Calibri" w:hAnsi="Arial" w:cs="Arial"/>
        </w:rPr>
        <w:t>Nanog</w:t>
      </w:r>
      <w:proofErr w:type="spellEnd"/>
      <w:r w:rsidRPr="00BC6185">
        <w:rPr>
          <w:rFonts w:ascii="Arial" w:eastAsia="Calibri" w:hAnsi="Arial" w:cs="Arial"/>
        </w:rPr>
        <w:t xml:space="preserve">). Komórki populacji szpikowej wykazały brak reakcji odróżnicowania w wyniku zastosowania obniżonych warunków tlenu, nie stwierdzono u nich indukcji żadnego z badanych genów </w:t>
      </w:r>
      <w:proofErr w:type="spellStart"/>
      <w:r w:rsidRPr="00BC6185">
        <w:rPr>
          <w:rFonts w:ascii="Arial" w:eastAsia="Calibri" w:hAnsi="Arial" w:cs="Arial"/>
        </w:rPr>
        <w:t>pluripotencjalności</w:t>
      </w:r>
      <w:proofErr w:type="spellEnd"/>
      <w:r w:rsidRPr="00BC6185">
        <w:rPr>
          <w:rFonts w:ascii="Arial" w:eastAsia="Calibri" w:hAnsi="Arial" w:cs="Arial"/>
        </w:rPr>
        <w:t>.</w:t>
      </w:r>
    </w:p>
    <w:p w:rsidR="00BC6185" w:rsidRPr="00BC6185" w:rsidRDefault="00BC6185" w:rsidP="00BC6185">
      <w:pPr>
        <w:spacing w:after="200" w:line="360" w:lineRule="auto"/>
        <w:ind w:firstLine="708"/>
        <w:jc w:val="both"/>
        <w:rPr>
          <w:rFonts w:ascii="Arial" w:eastAsia="Calibri" w:hAnsi="Arial" w:cs="Arial"/>
        </w:rPr>
      </w:pPr>
      <w:r w:rsidRPr="00BC6185">
        <w:rPr>
          <w:rFonts w:ascii="Arial" w:eastAsia="Calibri" w:hAnsi="Arial" w:cs="Arial"/>
        </w:rPr>
        <w:t xml:space="preserve">W dalszych badaniach uwaga została skupiona na zagadnieniach związanych z mechanizmami kontrolującymi stan </w:t>
      </w:r>
      <w:proofErr w:type="spellStart"/>
      <w:r w:rsidRPr="00BC6185">
        <w:rPr>
          <w:rFonts w:ascii="Arial" w:eastAsia="Calibri" w:hAnsi="Arial" w:cs="Arial"/>
        </w:rPr>
        <w:t>epigenomu</w:t>
      </w:r>
      <w:proofErr w:type="spellEnd"/>
      <w:r w:rsidRPr="00BC6185">
        <w:rPr>
          <w:rFonts w:ascii="Arial" w:eastAsia="Calibri" w:hAnsi="Arial" w:cs="Arial"/>
        </w:rPr>
        <w:t xml:space="preserve"> w kontekście regulacji ważnych procesów rozwojowych, różnicowania i podziałów komórkowych. Czynnikiem modyfikującym, który zastosowano był inhibitor enzymów katalizujących </w:t>
      </w:r>
      <w:proofErr w:type="spellStart"/>
      <w:r w:rsidRPr="00BC6185">
        <w:rPr>
          <w:rFonts w:ascii="Arial" w:eastAsia="Calibri" w:hAnsi="Arial" w:cs="Arial"/>
        </w:rPr>
        <w:t>deacetylację</w:t>
      </w:r>
      <w:proofErr w:type="spellEnd"/>
      <w:r w:rsidRPr="00BC6185">
        <w:rPr>
          <w:rFonts w:ascii="Arial" w:eastAsia="Calibri" w:hAnsi="Arial" w:cs="Arial"/>
        </w:rPr>
        <w:t xml:space="preserve"> histonów (HDAC) </w:t>
      </w:r>
      <w:proofErr w:type="spellStart"/>
      <w:r w:rsidRPr="00BC6185">
        <w:rPr>
          <w:rFonts w:ascii="Arial" w:eastAsia="Calibri" w:hAnsi="Arial" w:cs="Arial"/>
        </w:rPr>
        <w:t>Trichostatyna</w:t>
      </w:r>
      <w:proofErr w:type="spellEnd"/>
      <w:r w:rsidRPr="00BC6185">
        <w:rPr>
          <w:rFonts w:ascii="Arial" w:eastAsia="Calibri" w:hAnsi="Arial" w:cs="Arial"/>
        </w:rPr>
        <w:t xml:space="preserve"> A (TSA). </w:t>
      </w:r>
      <w:proofErr w:type="spellStart"/>
      <w:r w:rsidRPr="00BC6185">
        <w:rPr>
          <w:rFonts w:ascii="Arial" w:eastAsia="Calibri" w:hAnsi="Arial" w:cs="Arial"/>
        </w:rPr>
        <w:t>Trichostatyna</w:t>
      </w:r>
      <w:proofErr w:type="spellEnd"/>
      <w:r w:rsidRPr="00BC6185">
        <w:rPr>
          <w:rFonts w:ascii="Arial" w:eastAsia="Calibri" w:hAnsi="Arial" w:cs="Arial"/>
        </w:rPr>
        <w:t xml:space="preserve"> A jest silnym, odwracalnym inhibitorem </w:t>
      </w:r>
      <w:proofErr w:type="spellStart"/>
      <w:r w:rsidRPr="00BC6185">
        <w:rPr>
          <w:rFonts w:ascii="Arial" w:eastAsia="Calibri" w:hAnsi="Arial" w:cs="Arial"/>
        </w:rPr>
        <w:t>deacetylazy</w:t>
      </w:r>
      <w:proofErr w:type="spellEnd"/>
      <w:r w:rsidRPr="00BC6185">
        <w:rPr>
          <w:rFonts w:ascii="Arial" w:eastAsia="Calibri" w:hAnsi="Arial" w:cs="Arial"/>
        </w:rPr>
        <w:t xml:space="preserve"> i zapobiega usuwaniu grup acetylowych z reszt lizynowych na histonach. </w:t>
      </w:r>
      <w:r w:rsidRPr="00BC6185">
        <w:rPr>
          <w:rFonts w:ascii="Arial" w:eastAsia="Calibri" w:hAnsi="Arial" w:cs="Arial"/>
          <w:bCs/>
        </w:rPr>
        <w:t xml:space="preserve">Ostatnio coraz powszechniejszy jest pogląd, że hamowanie aktywności HDAC przez ten związek umożliwia </w:t>
      </w:r>
      <w:proofErr w:type="spellStart"/>
      <w:r w:rsidRPr="00BC6185">
        <w:rPr>
          <w:rFonts w:ascii="Arial" w:eastAsia="Calibri" w:hAnsi="Arial" w:cs="Arial"/>
          <w:bCs/>
        </w:rPr>
        <w:t>acetylację</w:t>
      </w:r>
      <w:proofErr w:type="spellEnd"/>
      <w:r w:rsidRPr="00BC6185">
        <w:rPr>
          <w:rFonts w:ascii="Arial" w:eastAsia="Calibri" w:hAnsi="Arial" w:cs="Arial"/>
          <w:bCs/>
        </w:rPr>
        <w:t xml:space="preserve"> białek </w:t>
      </w:r>
      <w:proofErr w:type="spellStart"/>
      <w:r w:rsidRPr="00BC6185">
        <w:rPr>
          <w:rFonts w:ascii="Arial" w:eastAsia="Calibri" w:hAnsi="Arial" w:cs="Arial"/>
          <w:bCs/>
        </w:rPr>
        <w:t>histonowych</w:t>
      </w:r>
      <w:proofErr w:type="spellEnd"/>
      <w:r w:rsidRPr="00BC6185">
        <w:rPr>
          <w:rFonts w:ascii="Arial" w:eastAsia="Calibri" w:hAnsi="Arial" w:cs="Arial"/>
          <w:bCs/>
        </w:rPr>
        <w:t xml:space="preserve"> w odcinkach </w:t>
      </w:r>
      <w:proofErr w:type="spellStart"/>
      <w:r w:rsidRPr="00BC6185">
        <w:rPr>
          <w:rFonts w:ascii="Arial" w:eastAsia="Calibri" w:hAnsi="Arial" w:cs="Arial"/>
          <w:bCs/>
        </w:rPr>
        <w:t>promotorowych</w:t>
      </w:r>
      <w:proofErr w:type="spellEnd"/>
      <w:r w:rsidRPr="00BC6185">
        <w:rPr>
          <w:rFonts w:ascii="Arial" w:eastAsia="Calibri" w:hAnsi="Arial" w:cs="Arial"/>
          <w:bCs/>
        </w:rPr>
        <w:t xml:space="preserve"> genów związanych z procesem różnicowania komórek macierzystych. </w:t>
      </w:r>
      <w:r w:rsidRPr="00BC6185">
        <w:rPr>
          <w:rFonts w:ascii="Arial" w:eastAsia="Calibri" w:hAnsi="Arial" w:cs="Arial"/>
        </w:rPr>
        <w:t>W naszych doświadczeniach komórki WJ-MSC</w:t>
      </w:r>
      <w:r w:rsidRPr="00BC6185">
        <w:rPr>
          <w:rFonts w:ascii="Arial" w:eastAsia="Calibri" w:hAnsi="Arial" w:cs="Arial"/>
          <w:vertAlign w:val="subscript"/>
        </w:rPr>
        <w:t xml:space="preserve">NT </w:t>
      </w:r>
      <w:r w:rsidRPr="00BC6185">
        <w:rPr>
          <w:rFonts w:ascii="Arial" w:eastAsia="Calibri" w:hAnsi="Arial" w:cs="Arial"/>
        </w:rPr>
        <w:t xml:space="preserve">poddane działaniu inhibitora HDAC, TSA w warunkach hipoksji hamowały proliferację w mechanizmie zależnym od indukowanego hipoksją czynnika HIFα 1 i 2. Modyfikator ten również wykazał wpływ na proces różnicowania </w:t>
      </w:r>
      <w:proofErr w:type="spellStart"/>
      <w:r w:rsidRPr="00BC6185">
        <w:rPr>
          <w:rFonts w:ascii="Arial" w:eastAsia="Calibri" w:hAnsi="Arial" w:cs="Arial"/>
        </w:rPr>
        <w:t>neuralnego</w:t>
      </w:r>
      <w:proofErr w:type="spellEnd"/>
      <w:r w:rsidRPr="00BC6185">
        <w:rPr>
          <w:rFonts w:ascii="Arial" w:eastAsia="Calibri" w:hAnsi="Arial" w:cs="Arial"/>
        </w:rPr>
        <w:t xml:space="preserve"> komórek WJ-MSC. Zaobserwowano, że komórki WJ-MSC</w:t>
      </w:r>
      <w:r w:rsidRPr="00BC6185">
        <w:rPr>
          <w:rFonts w:ascii="Arial" w:eastAsia="Calibri" w:hAnsi="Arial" w:cs="Arial"/>
          <w:vertAlign w:val="subscript"/>
        </w:rPr>
        <w:t>NT</w:t>
      </w:r>
      <w:r w:rsidRPr="00BC6185">
        <w:rPr>
          <w:rFonts w:ascii="Arial" w:eastAsia="Calibri" w:hAnsi="Arial" w:cs="Arial"/>
        </w:rPr>
        <w:t xml:space="preserve"> po potraktowaniu TSA odzyskiwały potencjał różnicowania </w:t>
      </w:r>
      <w:proofErr w:type="spellStart"/>
      <w:r w:rsidRPr="00BC6185">
        <w:rPr>
          <w:rFonts w:ascii="Arial" w:eastAsia="Calibri" w:hAnsi="Arial" w:cs="Arial"/>
        </w:rPr>
        <w:t>neuralnego</w:t>
      </w:r>
      <w:proofErr w:type="spellEnd"/>
      <w:r w:rsidRPr="00BC6185">
        <w:rPr>
          <w:rFonts w:ascii="Arial" w:eastAsia="Calibri" w:hAnsi="Arial" w:cs="Arial"/>
        </w:rPr>
        <w:t>. Z naszych badań wynika, że WJ-MSC</w:t>
      </w:r>
      <w:r w:rsidRPr="00BC6185">
        <w:rPr>
          <w:rFonts w:ascii="Arial" w:eastAsia="Calibri" w:hAnsi="Arial" w:cs="Arial"/>
          <w:vertAlign w:val="subscript"/>
        </w:rPr>
        <w:t xml:space="preserve">NT </w:t>
      </w:r>
      <w:r w:rsidRPr="00BC6185">
        <w:rPr>
          <w:rFonts w:ascii="Arial" w:eastAsia="Calibri" w:hAnsi="Arial" w:cs="Arial"/>
        </w:rPr>
        <w:t xml:space="preserve">jedynie po wstępnej ekspozycji na TSA reagowały pozytywnie na klasyczne induktory różnicowania </w:t>
      </w:r>
      <w:proofErr w:type="spellStart"/>
      <w:r w:rsidRPr="00BC6185">
        <w:rPr>
          <w:rFonts w:ascii="Arial" w:eastAsia="Calibri" w:hAnsi="Arial" w:cs="Arial"/>
        </w:rPr>
        <w:t>neuralnego</w:t>
      </w:r>
      <w:proofErr w:type="spellEnd"/>
      <w:r w:rsidRPr="00BC6185">
        <w:rPr>
          <w:rFonts w:ascii="Arial" w:eastAsia="Calibri" w:hAnsi="Arial" w:cs="Arial"/>
        </w:rPr>
        <w:t xml:space="preserve">: </w:t>
      </w:r>
      <w:proofErr w:type="spellStart"/>
      <w:r w:rsidRPr="00BC6185">
        <w:rPr>
          <w:rFonts w:ascii="Arial" w:eastAsia="Calibri" w:hAnsi="Arial" w:cs="Arial"/>
        </w:rPr>
        <w:t>cAMP</w:t>
      </w:r>
      <w:proofErr w:type="spellEnd"/>
      <w:r w:rsidRPr="00BC6185">
        <w:rPr>
          <w:rFonts w:ascii="Arial" w:eastAsia="Calibri" w:hAnsi="Arial" w:cs="Arial"/>
        </w:rPr>
        <w:t xml:space="preserve">, BDNF, RA, wytwarzając sieć o morfologicznych cechach neuronalnych, utworzoną z komórek wykazujących wysoką ekspresję MAP2, markera dojrzałych neuronów. Przeprowadzone badania wskazują na szczególną rolę poziomu </w:t>
      </w:r>
      <w:proofErr w:type="spellStart"/>
      <w:r w:rsidRPr="00BC6185">
        <w:rPr>
          <w:rFonts w:ascii="Arial" w:eastAsia="Calibri" w:hAnsi="Arial" w:cs="Arial"/>
        </w:rPr>
        <w:t>acetylacji</w:t>
      </w:r>
      <w:proofErr w:type="spellEnd"/>
      <w:r w:rsidRPr="00BC6185">
        <w:rPr>
          <w:rFonts w:ascii="Arial" w:eastAsia="Calibri" w:hAnsi="Arial" w:cs="Arial"/>
        </w:rPr>
        <w:t xml:space="preserve"> białek </w:t>
      </w:r>
      <w:proofErr w:type="spellStart"/>
      <w:r w:rsidRPr="00BC6185">
        <w:rPr>
          <w:rFonts w:ascii="Arial" w:eastAsia="Calibri" w:hAnsi="Arial" w:cs="Arial"/>
        </w:rPr>
        <w:t>histonowych</w:t>
      </w:r>
      <w:proofErr w:type="spellEnd"/>
      <w:r w:rsidRPr="00BC6185">
        <w:rPr>
          <w:rFonts w:ascii="Arial" w:eastAsia="Calibri" w:hAnsi="Arial" w:cs="Arial"/>
        </w:rPr>
        <w:t xml:space="preserve"> zależnych od warunków tlenowych w indukcji </w:t>
      </w:r>
      <w:proofErr w:type="spellStart"/>
      <w:r w:rsidRPr="00BC6185">
        <w:rPr>
          <w:rFonts w:ascii="Arial" w:eastAsia="Calibri" w:hAnsi="Arial" w:cs="Arial"/>
        </w:rPr>
        <w:t>pluripotencjalności</w:t>
      </w:r>
      <w:proofErr w:type="spellEnd"/>
      <w:r w:rsidRPr="00BC6185">
        <w:rPr>
          <w:rFonts w:ascii="Arial" w:eastAsia="Calibri" w:hAnsi="Arial" w:cs="Arial"/>
        </w:rPr>
        <w:t xml:space="preserve"> i w procesie różnicowania w kierunku fenotypów </w:t>
      </w:r>
      <w:proofErr w:type="spellStart"/>
      <w:r w:rsidRPr="00BC6185">
        <w:rPr>
          <w:rFonts w:ascii="Arial" w:eastAsia="Calibri" w:hAnsi="Arial" w:cs="Arial"/>
        </w:rPr>
        <w:t>neuralnych</w:t>
      </w:r>
      <w:proofErr w:type="spellEnd"/>
      <w:r w:rsidRPr="00BC6185">
        <w:rPr>
          <w:rFonts w:ascii="Arial" w:eastAsia="Calibri" w:hAnsi="Arial" w:cs="Arial"/>
        </w:rPr>
        <w:t xml:space="preserve"> </w:t>
      </w:r>
      <w:proofErr w:type="spellStart"/>
      <w:r w:rsidRPr="00BC6185">
        <w:rPr>
          <w:rFonts w:ascii="Arial" w:eastAsia="Calibri" w:hAnsi="Arial" w:cs="Arial"/>
        </w:rPr>
        <w:t>mezenchymalnych</w:t>
      </w:r>
      <w:proofErr w:type="spellEnd"/>
      <w:r w:rsidRPr="00BC6185">
        <w:rPr>
          <w:rFonts w:ascii="Arial" w:eastAsia="Calibri" w:hAnsi="Arial" w:cs="Arial"/>
        </w:rPr>
        <w:t xml:space="preserve"> komórek macierzystych. Badanie zachowania </w:t>
      </w:r>
      <w:proofErr w:type="spellStart"/>
      <w:r w:rsidRPr="00BC6185">
        <w:rPr>
          <w:rFonts w:ascii="Arial" w:eastAsia="Calibri" w:hAnsi="Arial" w:cs="Arial"/>
        </w:rPr>
        <w:t>mezenchymalnych</w:t>
      </w:r>
      <w:proofErr w:type="spellEnd"/>
      <w:r w:rsidRPr="00BC6185">
        <w:rPr>
          <w:rFonts w:ascii="Arial" w:eastAsia="Calibri" w:hAnsi="Arial" w:cs="Arial"/>
        </w:rPr>
        <w:t xml:space="preserve"> komórek macierzystych w hodowli </w:t>
      </w:r>
      <w:r w:rsidRPr="00BC6185">
        <w:rPr>
          <w:rFonts w:ascii="Arial" w:eastAsia="Calibri" w:hAnsi="Arial" w:cs="Arial"/>
          <w:i/>
        </w:rPr>
        <w:t xml:space="preserve">in vitro </w:t>
      </w:r>
      <w:r w:rsidRPr="00BC6185">
        <w:rPr>
          <w:rFonts w:ascii="Arial" w:eastAsia="Calibri" w:hAnsi="Arial" w:cs="Arial"/>
        </w:rPr>
        <w:t xml:space="preserve">mogą dostarczyć istotnych informacji na temat ich potencjalnych zdolności regeneracyjnych oraz reakcji na poszczególne cząsteczki sygnałowe, kierujące procesem związanym z różnicowaniem </w:t>
      </w:r>
      <w:proofErr w:type="spellStart"/>
      <w:r w:rsidRPr="00BC6185">
        <w:rPr>
          <w:rFonts w:ascii="Arial" w:eastAsia="Calibri" w:hAnsi="Arial" w:cs="Arial"/>
        </w:rPr>
        <w:t>neuralnym</w:t>
      </w:r>
      <w:proofErr w:type="spellEnd"/>
      <w:r w:rsidRPr="00BC6185">
        <w:rPr>
          <w:rFonts w:ascii="Arial" w:eastAsia="Calibri" w:hAnsi="Arial" w:cs="Arial"/>
        </w:rPr>
        <w:t xml:space="preserve">. Poznanie wpływu różnych czynników na zachowanie komórek </w:t>
      </w:r>
      <w:proofErr w:type="spellStart"/>
      <w:r w:rsidRPr="00BC6185">
        <w:rPr>
          <w:rFonts w:ascii="Arial" w:eastAsia="Calibri" w:hAnsi="Arial" w:cs="Arial"/>
        </w:rPr>
        <w:t>mezenchymalnych</w:t>
      </w:r>
      <w:proofErr w:type="spellEnd"/>
      <w:r w:rsidRPr="00BC6185">
        <w:rPr>
          <w:rFonts w:ascii="Arial" w:eastAsia="Calibri" w:hAnsi="Arial" w:cs="Arial"/>
        </w:rPr>
        <w:t xml:space="preserve"> może pozwolić na ich precyzyjną manipulację i wybór najlepszego źródła komórek w celu wykorzystania w terapii schorzeń układu nerwowego. Nasze badania wykazały ogromną plastyczność komórek otrzymanych z galarety Whartona oraz możliwość uzyskania z nich komórek o zróżnicowanych fenotypach </w:t>
      </w:r>
      <w:proofErr w:type="spellStart"/>
      <w:r w:rsidRPr="00BC6185">
        <w:rPr>
          <w:rFonts w:ascii="Arial" w:eastAsia="Calibri" w:hAnsi="Arial" w:cs="Arial"/>
        </w:rPr>
        <w:t>neuralnych</w:t>
      </w:r>
      <w:proofErr w:type="spellEnd"/>
      <w:r w:rsidRPr="00BC6185">
        <w:rPr>
          <w:rFonts w:ascii="Arial" w:eastAsia="Calibri" w:hAnsi="Arial" w:cs="Arial"/>
        </w:rPr>
        <w:t xml:space="preserve">, predestynując ten typ </w:t>
      </w:r>
      <w:proofErr w:type="spellStart"/>
      <w:r w:rsidRPr="00BC6185">
        <w:rPr>
          <w:rFonts w:ascii="Arial" w:eastAsia="Calibri" w:hAnsi="Arial" w:cs="Arial"/>
        </w:rPr>
        <w:t>mezenchymalnych</w:t>
      </w:r>
      <w:proofErr w:type="spellEnd"/>
      <w:r w:rsidRPr="00BC6185">
        <w:rPr>
          <w:rFonts w:ascii="Arial" w:eastAsia="Calibri" w:hAnsi="Arial" w:cs="Arial"/>
        </w:rPr>
        <w:t xml:space="preserve"> komórek macierzystych do zastosowań neurologicznych. Komórki z galarety Whartona stanowiły również korzystniejsze źródło do terapii ze względu na </w:t>
      </w:r>
      <w:r w:rsidRPr="00BC6185">
        <w:rPr>
          <w:rFonts w:ascii="Arial" w:eastAsia="Calibri" w:hAnsi="Arial" w:cs="Arial"/>
        </w:rPr>
        <w:lastRenderedPageBreak/>
        <w:t xml:space="preserve">stosunkowo większy neurotroficzny efekt </w:t>
      </w:r>
      <w:proofErr w:type="spellStart"/>
      <w:r w:rsidRPr="00BC6185">
        <w:rPr>
          <w:rFonts w:ascii="Arial" w:eastAsia="Calibri" w:hAnsi="Arial" w:cs="Arial"/>
        </w:rPr>
        <w:t>parakrynny</w:t>
      </w:r>
      <w:proofErr w:type="spellEnd"/>
      <w:r w:rsidRPr="00BC6185">
        <w:rPr>
          <w:rFonts w:ascii="Arial" w:eastAsia="Calibri" w:hAnsi="Arial" w:cs="Arial"/>
        </w:rPr>
        <w:t>. Wnioski wypływające z przeprowadzonych badań wskazują na wyjątkową przydatność hodowli WJ-MSC pochodzącej z tkanki o cechach płodowych do terapii komórkowej chorób układu nerwowego.</w:t>
      </w:r>
    </w:p>
    <w:p w:rsidR="00BC6185" w:rsidRPr="00BC6185" w:rsidRDefault="00BC6185" w:rsidP="00BC6185">
      <w:pPr>
        <w:spacing w:after="200" w:line="360" w:lineRule="auto"/>
        <w:ind w:firstLine="708"/>
        <w:jc w:val="both"/>
        <w:rPr>
          <w:rFonts w:ascii="Arial" w:eastAsia="Calibri" w:hAnsi="Arial" w:cs="Arial"/>
        </w:rPr>
      </w:pPr>
    </w:p>
    <w:p w:rsidR="00BC6185" w:rsidRPr="00BC6185" w:rsidRDefault="00BC6185" w:rsidP="00BC6185">
      <w:pPr>
        <w:spacing w:after="200" w:line="360" w:lineRule="auto"/>
        <w:ind w:firstLine="708"/>
        <w:jc w:val="both"/>
        <w:rPr>
          <w:rFonts w:ascii="Arial" w:eastAsia="Calibri" w:hAnsi="Arial" w:cs="Arial"/>
        </w:rPr>
      </w:pPr>
    </w:p>
    <w:p w:rsidR="002F2A93" w:rsidRPr="002F2A93" w:rsidRDefault="002F2A93" w:rsidP="002F2A93">
      <w:pPr>
        <w:spacing w:after="0" w:line="240" w:lineRule="auto"/>
        <w:ind w:firstLine="360"/>
        <w:jc w:val="center"/>
        <w:rPr>
          <w:rFonts w:ascii="Arial" w:eastAsia="Times New Roman" w:hAnsi="Arial" w:cs="Arial"/>
          <w:sz w:val="32"/>
          <w:szCs w:val="32"/>
        </w:rPr>
      </w:pPr>
    </w:p>
    <w:p w:rsidR="002F2A93" w:rsidRPr="002F2A93" w:rsidRDefault="002F2A93" w:rsidP="002F2A93">
      <w:pPr>
        <w:spacing w:after="0" w:line="240" w:lineRule="auto"/>
        <w:ind w:firstLine="360"/>
        <w:jc w:val="center"/>
        <w:rPr>
          <w:rFonts w:ascii="Arial" w:eastAsia="Times New Roman" w:hAnsi="Arial" w:cs="Arial"/>
          <w:sz w:val="32"/>
          <w:szCs w:val="32"/>
        </w:rPr>
      </w:pPr>
    </w:p>
    <w:p w:rsidR="002F2A93" w:rsidRPr="002F2A93" w:rsidRDefault="002F2A93" w:rsidP="002F2A93">
      <w:pPr>
        <w:spacing w:after="0" w:line="240" w:lineRule="auto"/>
        <w:ind w:firstLine="360"/>
        <w:jc w:val="center"/>
        <w:rPr>
          <w:rFonts w:ascii="Arial" w:eastAsia="Times New Roman" w:hAnsi="Arial" w:cs="Arial"/>
          <w:sz w:val="32"/>
          <w:szCs w:val="32"/>
        </w:rPr>
      </w:pPr>
    </w:p>
    <w:p w:rsidR="002F2A93" w:rsidRPr="002F2A93" w:rsidRDefault="002F2A93" w:rsidP="002F2A93">
      <w:pPr>
        <w:spacing w:after="0" w:line="240" w:lineRule="auto"/>
        <w:ind w:firstLine="360"/>
        <w:jc w:val="center"/>
        <w:rPr>
          <w:rFonts w:ascii="Arial" w:eastAsia="Times New Roman" w:hAnsi="Arial" w:cs="Arial"/>
          <w:sz w:val="32"/>
          <w:szCs w:val="32"/>
        </w:rPr>
      </w:pPr>
    </w:p>
    <w:p w:rsidR="002F2A93" w:rsidRPr="002F2A93" w:rsidRDefault="002F2A93" w:rsidP="002F2A93">
      <w:pPr>
        <w:spacing w:after="0" w:line="240" w:lineRule="auto"/>
        <w:ind w:firstLine="360"/>
        <w:jc w:val="center"/>
        <w:rPr>
          <w:rFonts w:ascii="Arial" w:eastAsia="Times New Roman" w:hAnsi="Arial" w:cs="Arial"/>
          <w:sz w:val="32"/>
          <w:szCs w:val="32"/>
        </w:rPr>
      </w:pPr>
    </w:p>
    <w:p w:rsidR="002F2A93" w:rsidRPr="002F2A93" w:rsidRDefault="002F2A93" w:rsidP="002F2A93">
      <w:pPr>
        <w:spacing w:after="0" w:line="240" w:lineRule="auto"/>
        <w:ind w:firstLine="360"/>
        <w:jc w:val="center"/>
        <w:rPr>
          <w:rFonts w:ascii="Arial" w:eastAsia="Times New Roman" w:hAnsi="Arial" w:cs="Arial"/>
          <w:sz w:val="32"/>
          <w:szCs w:val="32"/>
        </w:rPr>
      </w:pPr>
    </w:p>
    <w:p w:rsidR="00914A57" w:rsidRDefault="00914A57"/>
    <w:sectPr w:rsidR="00914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A93"/>
    <w:rsid w:val="000129C7"/>
    <w:rsid w:val="00032A12"/>
    <w:rsid w:val="0004458E"/>
    <w:rsid w:val="00052E4F"/>
    <w:rsid w:val="0007683E"/>
    <w:rsid w:val="000904A5"/>
    <w:rsid w:val="000A0574"/>
    <w:rsid w:val="000A0A41"/>
    <w:rsid w:val="000A46B5"/>
    <w:rsid w:val="000B0378"/>
    <w:rsid w:val="001127E9"/>
    <w:rsid w:val="0013503A"/>
    <w:rsid w:val="00140109"/>
    <w:rsid w:val="0014452A"/>
    <w:rsid w:val="0015157A"/>
    <w:rsid w:val="0016696B"/>
    <w:rsid w:val="00175EE6"/>
    <w:rsid w:val="001958E2"/>
    <w:rsid w:val="001A26AA"/>
    <w:rsid w:val="001C119A"/>
    <w:rsid w:val="001E2608"/>
    <w:rsid w:val="001F0526"/>
    <w:rsid w:val="00224A3E"/>
    <w:rsid w:val="002365CF"/>
    <w:rsid w:val="0024075D"/>
    <w:rsid w:val="002447D8"/>
    <w:rsid w:val="002476AD"/>
    <w:rsid w:val="00247794"/>
    <w:rsid w:val="00260E30"/>
    <w:rsid w:val="0026632F"/>
    <w:rsid w:val="00276B4E"/>
    <w:rsid w:val="00285C86"/>
    <w:rsid w:val="00292BD4"/>
    <w:rsid w:val="002A2ADD"/>
    <w:rsid w:val="002B30E8"/>
    <w:rsid w:val="002B4EB0"/>
    <w:rsid w:val="002C6DC4"/>
    <w:rsid w:val="002D24EB"/>
    <w:rsid w:val="002D2701"/>
    <w:rsid w:val="002D652F"/>
    <w:rsid w:val="002F2A93"/>
    <w:rsid w:val="0030324B"/>
    <w:rsid w:val="00303F0C"/>
    <w:rsid w:val="0032029A"/>
    <w:rsid w:val="00322CD8"/>
    <w:rsid w:val="00325AB2"/>
    <w:rsid w:val="00335877"/>
    <w:rsid w:val="003368B8"/>
    <w:rsid w:val="00367ADE"/>
    <w:rsid w:val="00376CE3"/>
    <w:rsid w:val="00380DC2"/>
    <w:rsid w:val="003C0DB9"/>
    <w:rsid w:val="003C45B2"/>
    <w:rsid w:val="003C7FB7"/>
    <w:rsid w:val="00401317"/>
    <w:rsid w:val="004015F9"/>
    <w:rsid w:val="00402168"/>
    <w:rsid w:val="00441122"/>
    <w:rsid w:val="00454734"/>
    <w:rsid w:val="00461E46"/>
    <w:rsid w:val="004710FB"/>
    <w:rsid w:val="00495F2D"/>
    <w:rsid w:val="004A75AA"/>
    <w:rsid w:val="004C2CEF"/>
    <w:rsid w:val="004E0958"/>
    <w:rsid w:val="00504D8F"/>
    <w:rsid w:val="0052119B"/>
    <w:rsid w:val="00521898"/>
    <w:rsid w:val="0056598F"/>
    <w:rsid w:val="00572951"/>
    <w:rsid w:val="00574E00"/>
    <w:rsid w:val="00577C88"/>
    <w:rsid w:val="00580939"/>
    <w:rsid w:val="00583E72"/>
    <w:rsid w:val="005B1B21"/>
    <w:rsid w:val="005C4C85"/>
    <w:rsid w:val="005D754D"/>
    <w:rsid w:val="00661213"/>
    <w:rsid w:val="00676928"/>
    <w:rsid w:val="006769DA"/>
    <w:rsid w:val="00684277"/>
    <w:rsid w:val="006A0BA8"/>
    <w:rsid w:val="006B1647"/>
    <w:rsid w:val="006C0475"/>
    <w:rsid w:val="006C1C8B"/>
    <w:rsid w:val="006C3B67"/>
    <w:rsid w:val="006E2AEE"/>
    <w:rsid w:val="00706DC0"/>
    <w:rsid w:val="0074671C"/>
    <w:rsid w:val="0077097C"/>
    <w:rsid w:val="00775ECE"/>
    <w:rsid w:val="00784C3B"/>
    <w:rsid w:val="0078560F"/>
    <w:rsid w:val="00791194"/>
    <w:rsid w:val="007A043A"/>
    <w:rsid w:val="007A4EC2"/>
    <w:rsid w:val="007B5830"/>
    <w:rsid w:val="007C0E73"/>
    <w:rsid w:val="007D6DF4"/>
    <w:rsid w:val="007E4EE0"/>
    <w:rsid w:val="007F1583"/>
    <w:rsid w:val="0080000F"/>
    <w:rsid w:val="008001BE"/>
    <w:rsid w:val="00806BCA"/>
    <w:rsid w:val="008421EB"/>
    <w:rsid w:val="00863969"/>
    <w:rsid w:val="0086429B"/>
    <w:rsid w:val="00875669"/>
    <w:rsid w:val="0088180F"/>
    <w:rsid w:val="0089636F"/>
    <w:rsid w:val="008F6985"/>
    <w:rsid w:val="00911839"/>
    <w:rsid w:val="00911CF5"/>
    <w:rsid w:val="00914A57"/>
    <w:rsid w:val="00932E4B"/>
    <w:rsid w:val="009446E4"/>
    <w:rsid w:val="009724A8"/>
    <w:rsid w:val="00975504"/>
    <w:rsid w:val="00991077"/>
    <w:rsid w:val="009C40C8"/>
    <w:rsid w:val="009D1C42"/>
    <w:rsid w:val="009D700F"/>
    <w:rsid w:val="009E6F94"/>
    <w:rsid w:val="009F5C06"/>
    <w:rsid w:val="00A1360F"/>
    <w:rsid w:val="00A2437F"/>
    <w:rsid w:val="00A3131C"/>
    <w:rsid w:val="00A537DD"/>
    <w:rsid w:val="00A94AC6"/>
    <w:rsid w:val="00AC56ED"/>
    <w:rsid w:val="00AD5E2B"/>
    <w:rsid w:val="00AF1E80"/>
    <w:rsid w:val="00B26F90"/>
    <w:rsid w:val="00B32C60"/>
    <w:rsid w:val="00B5332F"/>
    <w:rsid w:val="00B60434"/>
    <w:rsid w:val="00B8307E"/>
    <w:rsid w:val="00BC1839"/>
    <w:rsid w:val="00BC6185"/>
    <w:rsid w:val="00BE5081"/>
    <w:rsid w:val="00C34E4F"/>
    <w:rsid w:val="00C4493D"/>
    <w:rsid w:val="00C52A25"/>
    <w:rsid w:val="00CA5AA8"/>
    <w:rsid w:val="00CB7C43"/>
    <w:rsid w:val="00CC2535"/>
    <w:rsid w:val="00CC3A28"/>
    <w:rsid w:val="00CD6465"/>
    <w:rsid w:val="00CF7040"/>
    <w:rsid w:val="00D00FD0"/>
    <w:rsid w:val="00D03B14"/>
    <w:rsid w:val="00D04134"/>
    <w:rsid w:val="00D076BF"/>
    <w:rsid w:val="00D1621D"/>
    <w:rsid w:val="00D16E71"/>
    <w:rsid w:val="00D562E9"/>
    <w:rsid w:val="00D77E78"/>
    <w:rsid w:val="00D8247B"/>
    <w:rsid w:val="00D83447"/>
    <w:rsid w:val="00DC2C19"/>
    <w:rsid w:val="00DC5B00"/>
    <w:rsid w:val="00DC5F19"/>
    <w:rsid w:val="00E0511F"/>
    <w:rsid w:val="00E31B38"/>
    <w:rsid w:val="00E32177"/>
    <w:rsid w:val="00E372BD"/>
    <w:rsid w:val="00E401FA"/>
    <w:rsid w:val="00E5055A"/>
    <w:rsid w:val="00E5506A"/>
    <w:rsid w:val="00E644BD"/>
    <w:rsid w:val="00E71D7B"/>
    <w:rsid w:val="00E8041B"/>
    <w:rsid w:val="00E816B9"/>
    <w:rsid w:val="00E90151"/>
    <w:rsid w:val="00EA2A31"/>
    <w:rsid w:val="00EA7F1B"/>
    <w:rsid w:val="00EB33F3"/>
    <w:rsid w:val="00EB6478"/>
    <w:rsid w:val="00EC0908"/>
    <w:rsid w:val="00EC1CEC"/>
    <w:rsid w:val="00ED56F2"/>
    <w:rsid w:val="00ED6E44"/>
    <w:rsid w:val="00EE2B31"/>
    <w:rsid w:val="00EF3206"/>
    <w:rsid w:val="00EF6C51"/>
    <w:rsid w:val="00F272BA"/>
    <w:rsid w:val="00F35FF9"/>
    <w:rsid w:val="00F376C9"/>
    <w:rsid w:val="00F426CA"/>
    <w:rsid w:val="00F5376E"/>
    <w:rsid w:val="00F56EA3"/>
    <w:rsid w:val="00F92ED5"/>
    <w:rsid w:val="00F95B78"/>
    <w:rsid w:val="00FB1700"/>
    <w:rsid w:val="00FB6A65"/>
    <w:rsid w:val="00FD1061"/>
    <w:rsid w:val="00FD6A95"/>
    <w:rsid w:val="00FE2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1488</Words>
  <Characters>8931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Drela</dc:creator>
  <cp:lastModifiedBy>Imdik</cp:lastModifiedBy>
  <cp:revision>5</cp:revision>
  <dcterms:created xsi:type="dcterms:W3CDTF">2015-09-14T09:04:00Z</dcterms:created>
  <dcterms:modified xsi:type="dcterms:W3CDTF">2015-09-14T09:24:00Z</dcterms:modified>
</cp:coreProperties>
</file>